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8"/>
          <w:szCs w:val="28"/>
        </w:rPr>
      </w:pPr>
      <w: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114300</wp:posOffset>
            </wp:positionV>
            <wp:extent cx="6165215" cy="2891155"/>
            <wp:effectExtent l="0" t="0" r="0" b="0"/>
            <wp:wrapSquare wrapText="bothSides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g"/>
                    <pic:cNvPicPr preferRelativeResize="0"/>
                  </pic:nvPicPr>
                  <pic:blipFill>
                    <a:blip r:embed="rId8"/>
                    <a:srcRect l="40" t="3550" r="40" b="11538"/>
                    <a:stretch>
                      <a:fillRect/>
                    </a:stretch>
                  </pic:blipFill>
                  <pic:spPr>
                    <a:xfrm>
                      <a:off x="0" y="0"/>
                      <a:ext cx="6165153" cy="2890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sz w:val="28"/>
          <w:szCs w:val="28"/>
        </w:rPr>
      </w:pPr>
      <w:r>
        <w:rPr>
          <w:rFonts w:ascii="Arial Unicode MS" w:hAnsi="Arial Unicode MS" w:eastAsia="Arial Unicode MS" w:cs="Arial Unicode MS"/>
          <w:b/>
          <w:sz w:val="28"/>
          <w:szCs w:val="28"/>
          <w:rtl w:val="0"/>
        </w:rPr>
        <w:t>关于 2021秋</w:t>
      </w:r>
    </w:p>
    <w:p>
      <w:pPr>
        <w:jc w:val="center"/>
        <w:rPr>
          <w:b/>
          <w:sz w:val="28"/>
          <w:szCs w:val="28"/>
        </w:rPr>
      </w:pPr>
      <w:r>
        <w:rPr>
          <w:rFonts w:ascii="Arial Unicode MS" w:hAnsi="Arial Unicode MS" w:eastAsia="Arial Unicode MS" w:cs="Arial Unicode MS"/>
          <w:b/>
          <w:sz w:val="28"/>
          <w:szCs w:val="28"/>
          <w:rtl w:val="0"/>
        </w:rPr>
        <w:t xml:space="preserve"> 麻省理工学院 &amp; 哈佛商学院</w:t>
      </w:r>
    </w:p>
    <w:p>
      <w:pPr>
        <w:jc w:val="center"/>
        <w:rPr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sz w:val="28"/>
          <w:szCs w:val="28"/>
          <w:rtl w:val="0"/>
        </w:rPr>
        <w:t>联合开设全新 Blended Learning 混合式官方课程项目的通知</w:t>
      </w:r>
    </w:p>
    <w:p>
      <w:pPr>
        <w:rPr>
          <w:sz w:val="24"/>
          <w:szCs w:val="24"/>
        </w:rPr>
      </w:pPr>
    </w:p>
    <w:p>
      <w:pPr>
        <w:spacing w:line="312" w:lineRule="auto"/>
        <w:rPr>
          <w:b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sz w:val="20"/>
          <w:szCs w:val="20"/>
          <w:rtl w:val="0"/>
        </w:rPr>
        <w:t>一、院校简介</w:t>
      </w:r>
    </w:p>
    <w:p>
      <w:pPr>
        <w:spacing w:line="312" w:lineRule="auto"/>
        <w:rPr>
          <w:sz w:val="20"/>
          <w:szCs w:val="20"/>
        </w:rPr>
      </w:pPr>
    </w:p>
    <w:p>
      <w:pPr>
        <w:spacing w:line="312" w:lineRule="auto"/>
        <w:rPr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sz w:val="20"/>
          <w:szCs w:val="20"/>
          <w:rtl w:val="0"/>
        </w:rPr>
        <w:t>麻省理工学院</w:t>
      </w:r>
      <w:r>
        <w:rPr>
          <w:rFonts w:ascii="Arial Unicode MS" w:hAnsi="Arial Unicode MS" w:eastAsia="Arial Unicode MS" w:cs="Arial Unicode MS"/>
          <w:sz w:val="20"/>
          <w:szCs w:val="20"/>
          <w:rtl w:val="0"/>
        </w:rPr>
        <w:t>（Massachusetts Institute of Technology, 以下简称 MIT）</w:t>
      </w:r>
      <w:r>
        <w:rPr>
          <w:rFonts w:ascii="Arial Unicode MS" w:hAnsi="Arial Unicode MS" w:eastAsia="Arial Unicode MS" w:cs="Arial Unicode MS"/>
          <w:sz w:val="20"/>
          <w:szCs w:val="20"/>
          <w:highlight w:val="white"/>
          <w:rtl w:val="0"/>
        </w:rPr>
        <w:t>素以顶尖的工程与技术世界著名</w:t>
      </w:r>
      <w:r>
        <w:rPr>
          <w:rFonts w:ascii="Arial Unicode MS" w:hAnsi="Arial Unicode MS" w:eastAsia="Arial Unicode MS" w:cs="Arial Unicode MS"/>
          <w:sz w:val="20"/>
          <w:szCs w:val="20"/>
          <w:rtl w:val="0"/>
        </w:rPr>
        <w:t>。</w:t>
      </w:r>
      <w:r>
        <w:rPr>
          <w:rFonts w:ascii="Arial Unicode MS" w:hAnsi="Arial Unicode MS" w:eastAsia="Arial Unicode MS" w:cs="Arial Unicode MS"/>
          <w:sz w:val="20"/>
          <w:szCs w:val="20"/>
          <w:highlight w:val="white"/>
          <w:rtl w:val="0"/>
        </w:rPr>
        <w:t>截至2020年MIT 共产生了97位诺贝尔奖、8位菲尔兹奖、以及26位图灵奖得主。</w:t>
      </w:r>
      <w:r>
        <w:rPr>
          <w:rFonts w:ascii="Arial Unicode MS" w:hAnsi="Arial Unicode MS" w:eastAsia="Arial Unicode MS" w:cs="Arial Unicode MS"/>
          <w:sz w:val="20"/>
          <w:szCs w:val="20"/>
          <w:rtl w:val="0"/>
        </w:rPr>
        <w:t>在最新发布的2021-22年度QS世界大学排名中，</w:t>
      </w:r>
      <w:r>
        <w:rPr>
          <w:rFonts w:ascii="Arial Unicode MS" w:hAnsi="Arial Unicode MS" w:eastAsia="Arial Unicode MS" w:cs="Arial Unicode MS"/>
          <w:b/>
          <w:color w:val="18339E"/>
          <w:sz w:val="20"/>
          <w:szCs w:val="20"/>
          <w:rtl w:val="0"/>
        </w:rPr>
        <w:t>MIT 位列全球第一</w:t>
      </w:r>
      <w:r>
        <w:rPr>
          <w:rFonts w:ascii="Arial Unicode MS" w:hAnsi="Arial Unicode MS" w:eastAsia="Arial Unicode MS" w:cs="Arial Unicode MS"/>
          <w:sz w:val="20"/>
          <w:szCs w:val="20"/>
          <w:rtl w:val="0"/>
        </w:rPr>
        <w:t>。</w:t>
      </w:r>
    </w:p>
    <w:p>
      <w:pPr>
        <w:spacing w:line="312" w:lineRule="auto"/>
        <w:rPr>
          <w:sz w:val="20"/>
          <w:szCs w:val="20"/>
        </w:rPr>
      </w:pPr>
    </w:p>
    <w:p>
      <w:pPr>
        <w:spacing w:line="312" w:lineRule="auto"/>
        <w:rPr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sz w:val="20"/>
          <w:szCs w:val="20"/>
          <w:rtl w:val="0"/>
        </w:rPr>
        <w:t>哈佛商学院</w:t>
      </w:r>
      <w:r>
        <w:rPr>
          <w:rFonts w:ascii="Arial Unicode MS" w:hAnsi="Arial Unicode MS" w:eastAsia="Arial Unicode MS" w:cs="Arial Unicode MS"/>
          <w:sz w:val="20"/>
          <w:szCs w:val="20"/>
          <w:rtl w:val="0"/>
        </w:rPr>
        <w:t>（Harvard Business School, 以下简称 HBS）隶属美国哈佛大学，为全球最著名的商学院之一。建于1908年的HBS 被称为美国培养顶级企业人才的摇篮，全球500强企业高管有近 20%都来自该学院。</w:t>
      </w:r>
    </w:p>
    <w:p>
      <w:pPr>
        <w:spacing w:line="312" w:lineRule="auto"/>
        <w:rPr>
          <w:sz w:val="20"/>
          <w:szCs w:val="20"/>
        </w:rPr>
      </w:pPr>
    </w:p>
    <w:p>
      <w:pPr>
        <w:spacing w:line="312" w:lineRule="auto"/>
        <w:rPr>
          <w:sz w:val="20"/>
          <w:szCs w:val="20"/>
        </w:rPr>
      </w:pPr>
    </w:p>
    <w:p>
      <w:pPr>
        <w:spacing w:line="312" w:lineRule="auto"/>
        <w:rPr>
          <w:b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sz w:val="20"/>
          <w:szCs w:val="20"/>
          <w:rtl w:val="0"/>
        </w:rPr>
        <w:t>二、项目总览</w:t>
      </w:r>
    </w:p>
    <w:p>
      <w:pPr>
        <w:spacing w:line="312" w:lineRule="auto"/>
        <w:rPr>
          <w:sz w:val="20"/>
          <w:szCs w:val="20"/>
        </w:rPr>
      </w:pPr>
    </w:p>
    <w:p>
      <w:pPr>
        <w:spacing w:line="312" w:lineRule="auto"/>
        <w:rPr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Cs w:val="20"/>
          <w:rtl w:val="0"/>
        </w:rPr>
        <w:t xml:space="preserve">Blended Learning MIT 是由 MIT Open Learning （美国麻省理工学院负责全球教育推广事务的校级部门） 旗下 MIT xPRO 领衔，是当前 MIT 面向世界大学生开放的最前沿的 </w:t>
      </w:r>
      <w:r>
        <w:rPr>
          <w:rFonts w:ascii="Arial Unicode MS" w:hAnsi="Arial Unicode MS" w:eastAsia="Arial Unicode MS" w:cs="Arial Unicode MS"/>
          <w:b/>
          <w:color w:val="18339E"/>
          <w:sz w:val="20"/>
          <w:szCs w:val="20"/>
          <w:rtl w:val="0"/>
        </w:rPr>
        <w:t>大型官方课程项目</w:t>
      </w:r>
      <w:r>
        <w:rPr>
          <w:rFonts w:ascii="Arial Unicode MS" w:hAnsi="Arial Unicode MS" w:eastAsia="Arial Unicode MS" w:cs="Arial Unicode MS"/>
          <w:sz w:val="20"/>
          <w:szCs w:val="20"/>
          <w:rtl w:val="0"/>
        </w:rPr>
        <w:t>。</w:t>
      </w:r>
    </w:p>
    <w:p>
      <w:pPr>
        <w:spacing w:line="312" w:lineRule="auto"/>
        <w:rPr>
          <w:sz w:val="20"/>
          <w:szCs w:val="20"/>
        </w:rPr>
      </w:pPr>
    </w:p>
    <w:p>
      <w:pPr>
        <w:spacing w:line="312" w:lineRule="auto"/>
        <w:rPr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Cs w:val="20"/>
          <w:rtl w:val="0"/>
        </w:rPr>
        <w:t xml:space="preserve">结合MIT 的学术资源及众多世界顶尖科技企业行业背景，项目重点培养学习者的 </w:t>
      </w:r>
      <w:r>
        <w:rPr>
          <w:rFonts w:ascii="Arial Unicode MS" w:hAnsi="Arial Unicode MS" w:eastAsia="Arial Unicode MS" w:cs="Arial Unicode MS"/>
          <w:b/>
          <w:color w:val="18339E"/>
          <w:sz w:val="20"/>
          <w:szCs w:val="20"/>
          <w:rtl w:val="0"/>
        </w:rPr>
        <w:t>跨学科学术能力、科研实力</w:t>
      </w:r>
      <w:r>
        <w:rPr>
          <w:rFonts w:ascii="Arial Unicode MS" w:hAnsi="Arial Unicode MS" w:eastAsia="Arial Unicode MS" w:cs="Arial Unicode MS"/>
          <w:sz w:val="20"/>
          <w:szCs w:val="20"/>
          <w:rtl w:val="0"/>
        </w:rPr>
        <w:t>及</w:t>
      </w:r>
      <w:r>
        <w:rPr>
          <w:rFonts w:ascii="Arial Unicode MS" w:hAnsi="Arial Unicode MS" w:eastAsia="Arial Unicode MS" w:cs="Arial Unicode MS"/>
          <w:b/>
          <w:color w:val="18339E"/>
          <w:sz w:val="20"/>
          <w:szCs w:val="20"/>
          <w:rtl w:val="0"/>
        </w:rPr>
        <w:t>全球化就业技能</w:t>
      </w:r>
      <w:r>
        <w:rPr>
          <w:rFonts w:ascii="Arial Unicode MS" w:hAnsi="Arial Unicode MS" w:eastAsia="Arial Unicode MS" w:cs="Arial Unicode MS"/>
          <w:sz w:val="20"/>
          <w:szCs w:val="20"/>
          <w:rtl w:val="0"/>
        </w:rPr>
        <w:t>。</w:t>
      </w:r>
    </w:p>
    <w:p>
      <w:pPr>
        <w:spacing w:line="312" w:lineRule="auto"/>
        <w:rPr>
          <w:sz w:val="20"/>
          <w:szCs w:val="20"/>
        </w:rPr>
      </w:pPr>
    </w:p>
    <w:p>
      <w:pPr>
        <w:spacing w:line="312" w:lineRule="auto"/>
        <w:rPr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Cs w:val="20"/>
          <w:rtl w:val="0"/>
        </w:rPr>
        <w:t>2021年9月，Blended Learning MIT 正式携手</w:t>
      </w:r>
      <w:r>
        <w:rPr>
          <w:sz w:val="20"/>
          <w:szCs w:val="20"/>
          <w:rtl w:val="0"/>
        </w:rPr>
        <w:t>HBS</w:t>
      </w:r>
      <w:r>
        <w:rPr>
          <w:rFonts w:ascii="Arial Unicode MS" w:hAnsi="Arial Unicode MS" w:eastAsia="Arial Unicode MS" w:cs="Arial Unicode MS"/>
          <w:sz w:val="20"/>
          <w:szCs w:val="20"/>
          <w:rtl w:val="0"/>
        </w:rPr>
        <w:t xml:space="preserve"> 开放全新 Blended Learning 主题课程。</w:t>
      </w:r>
    </w:p>
    <w:p>
      <w:pPr>
        <w:spacing w:line="312" w:lineRule="auto"/>
        <w:rPr>
          <w:sz w:val="20"/>
          <w:szCs w:val="20"/>
        </w:rPr>
      </w:pPr>
    </w:p>
    <w:p>
      <w:pPr>
        <w:spacing w:line="312" w:lineRule="auto"/>
        <w:rPr>
          <w:b/>
          <w:sz w:val="20"/>
          <w:szCs w:val="20"/>
        </w:rPr>
      </w:pPr>
    </w:p>
    <w:p>
      <w:pPr>
        <w:spacing w:line="312" w:lineRule="auto"/>
        <w:rPr>
          <w:b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sz w:val="20"/>
          <w:szCs w:val="20"/>
          <w:rtl w:val="0"/>
        </w:rPr>
        <w:t>三、项目亮点</w:t>
      </w:r>
    </w:p>
    <w:p>
      <w:pPr>
        <w:spacing w:line="312" w:lineRule="auto"/>
        <w:rPr>
          <w:b/>
          <w:sz w:val="20"/>
          <w:szCs w:val="20"/>
        </w:rPr>
      </w:pPr>
    </w:p>
    <w:p>
      <w:pPr>
        <w:numPr>
          <w:ilvl w:val="0"/>
          <w:numId w:val="1"/>
        </w:numPr>
        <w:spacing w:line="312" w:lineRule="auto"/>
        <w:ind w:left="720" w:hanging="360"/>
        <w:rPr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sz w:val="20"/>
          <w:szCs w:val="20"/>
          <w:rtl w:val="0"/>
        </w:rPr>
        <w:t>2  大世界名校联手</w:t>
      </w:r>
      <w:r>
        <w:rPr>
          <w:rFonts w:ascii="Arial Unicode MS" w:hAnsi="Arial Unicode MS" w:eastAsia="Arial Unicode MS" w:cs="Arial Unicode MS"/>
          <w:sz w:val="20"/>
          <w:szCs w:val="20"/>
          <w:rtl w:val="0"/>
        </w:rPr>
        <w:t xml:space="preserve"> —— 麻省理工学院 &amp; 哈佛大学</w:t>
      </w:r>
    </w:p>
    <w:p>
      <w:pPr>
        <w:spacing w:line="312" w:lineRule="auto"/>
        <w:rPr>
          <w:sz w:val="20"/>
          <w:szCs w:val="20"/>
        </w:rPr>
      </w:pPr>
    </w:p>
    <w:p>
      <w:pPr>
        <w:numPr>
          <w:ilvl w:val="0"/>
          <w:numId w:val="1"/>
        </w:numPr>
        <w:spacing w:line="312" w:lineRule="auto"/>
        <w:ind w:left="720" w:hanging="360"/>
        <w:rPr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sz w:val="20"/>
          <w:szCs w:val="20"/>
          <w:rtl w:val="0"/>
        </w:rPr>
        <w:t xml:space="preserve">3  大核心主题课程 </w:t>
      </w:r>
      <w:r>
        <w:rPr>
          <w:rFonts w:ascii="Arial Unicode MS" w:hAnsi="Arial Unicode MS" w:eastAsia="Arial Unicode MS" w:cs="Arial Unicode MS"/>
          <w:sz w:val="20"/>
          <w:szCs w:val="20"/>
          <w:rtl w:val="0"/>
        </w:rPr>
        <w:t>—— 人工智能、数据分析、量子计算</w:t>
      </w:r>
    </w:p>
    <w:p>
      <w:pPr>
        <w:spacing w:line="312" w:lineRule="auto"/>
        <w:rPr>
          <w:sz w:val="20"/>
          <w:szCs w:val="20"/>
        </w:rPr>
      </w:pPr>
    </w:p>
    <w:p>
      <w:pPr>
        <w:numPr>
          <w:ilvl w:val="0"/>
          <w:numId w:val="1"/>
        </w:numPr>
        <w:spacing w:line="312" w:lineRule="auto"/>
        <w:ind w:left="720" w:hanging="360"/>
        <w:rPr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sz w:val="20"/>
          <w:szCs w:val="20"/>
          <w:rtl w:val="0"/>
        </w:rPr>
        <w:t>10 大课程交叉领域</w:t>
      </w:r>
      <w:r>
        <w:rPr>
          <w:rFonts w:ascii="Arial Unicode MS" w:hAnsi="Arial Unicode MS" w:eastAsia="Arial Unicode MS" w:cs="Arial Unicode MS"/>
          <w:sz w:val="20"/>
          <w:szCs w:val="20"/>
          <w:rtl w:val="0"/>
        </w:rPr>
        <w:t xml:space="preserve"> —— 金融科技、医疗、心理学、机器学习、区块链技术、材料、公共管理、环境与能源、智能硬件、新型传媒等；</w:t>
      </w:r>
    </w:p>
    <w:p>
      <w:pPr>
        <w:spacing w:line="312" w:lineRule="auto"/>
        <w:rPr>
          <w:sz w:val="20"/>
          <w:szCs w:val="20"/>
        </w:rPr>
      </w:pPr>
    </w:p>
    <w:p>
      <w:pPr>
        <w:numPr>
          <w:ilvl w:val="0"/>
          <w:numId w:val="1"/>
        </w:numPr>
        <w:spacing w:line="312" w:lineRule="auto"/>
        <w:ind w:left="720" w:hanging="360"/>
        <w:rPr>
          <w:sz w:val="20"/>
          <w:szCs w:val="20"/>
        </w:rPr>
      </w:pPr>
      <w:r>
        <w:rPr>
          <w:b/>
          <w:sz w:val="20"/>
          <w:szCs w:val="20"/>
          <w:rtl w:val="0"/>
        </w:rPr>
        <w:t>1</w:t>
      </w:r>
      <w:r>
        <w:rPr>
          <w:rFonts w:ascii="Arial Unicode MS" w:hAnsi="Arial Unicode MS" w:eastAsia="Arial Unicode MS" w:cs="Arial Unicode MS"/>
          <w:b/>
          <w:sz w:val="20"/>
          <w:szCs w:val="20"/>
          <w:rtl w:val="0"/>
        </w:rPr>
        <w:t>9 大顶尖案例企业</w:t>
      </w:r>
      <w:r>
        <w:rPr>
          <w:rFonts w:ascii="Arial Unicode MS" w:hAnsi="Arial Unicode MS" w:eastAsia="Arial Unicode MS" w:cs="Arial Unicode MS"/>
          <w:sz w:val="20"/>
          <w:szCs w:val="20"/>
          <w:rtl w:val="0"/>
        </w:rPr>
        <w:t>—— JPM 摩根大通、GE 通用、J&amp;J 强生、Netflix 奈飞、Bridgewater 桥水基金、IKEA 宜家、Neuralink、Coinbase、Twitter 推特、Tesla 特斯拉、Microsoft 微软、Apple 苹果、Siemens 西门子、Shell 壳牌等；</w:t>
      </w:r>
    </w:p>
    <w:p>
      <w:pPr>
        <w:spacing w:line="312" w:lineRule="auto"/>
        <w:rPr>
          <w:sz w:val="20"/>
          <w:szCs w:val="20"/>
        </w:rPr>
      </w:pPr>
    </w:p>
    <w:p>
      <w:pPr>
        <w:numPr>
          <w:ilvl w:val="0"/>
          <w:numId w:val="1"/>
        </w:numPr>
        <w:spacing w:line="312" w:lineRule="auto"/>
        <w:ind w:left="720" w:hanging="360"/>
        <w:rPr>
          <w:b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sz w:val="20"/>
          <w:szCs w:val="20"/>
          <w:rtl w:val="0"/>
        </w:rPr>
        <w:t>30 余顶尖教授导师 —— （</w:t>
      </w:r>
      <w:r>
        <w:rPr>
          <w:rFonts w:ascii="Arial Unicode MS" w:hAnsi="Arial Unicode MS" w:eastAsia="Arial Unicode MS" w:cs="Arial Unicode MS"/>
          <w:sz w:val="20"/>
          <w:szCs w:val="20"/>
          <w:rtl w:val="0"/>
        </w:rPr>
        <w:t>具体请查看附件项目介绍 PDF）</w:t>
      </w:r>
    </w:p>
    <w:p>
      <w:pPr>
        <w:spacing w:line="312" w:lineRule="auto"/>
        <w:rPr>
          <w:b/>
          <w:sz w:val="20"/>
          <w:szCs w:val="20"/>
        </w:rPr>
      </w:pPr>
    </w:p>
    <w:p>
      <w:pPr>
        <w:numPr>
          <w:ilvl w:val="0"/>
          <w:numId w:val="1"/>
        </w:numPr>
        <w:spacing w:line="312" w:lineRule="auto"/>
        <w:ind w:left="720" w:hanging="360"/>
        <w:rPr>
          <w:b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sz w:val="20"/>
          <w:szCs w:val="20"/>
          <w:rtl w:val="0"/>
        </w:rPr>
        <w:t>24 门硬核可选课程  —— （</w:t>
      </w:r>
      <w:r>
        <w:rPr>
          <w:rFonts w:ascii="Arial Unicode MS" w:hAnsi="Arial Unicode MS" w:eastAsia="Arial Unicode MS" w:cs="Arial Unicode MS"/>
          <w:sz w:val="20"/>
          <w:szCs w:val="20"/>
          <w:rtl w:val="0"/>
        </w:rPr>
        <w:t>具体请查看附件项目介绍 PDF）</w:t>
      </w:r>
    </w:p>
    <w:p>
      <w:pPr>
        <w:spacing w:line="312" w:lineRule="auto"/>
        <w:rPr>
          <w:b/>
          <w:sz w:val="20"/>
          <w:szCs w:val="20"/>
        </w:rPr>
      </w:pPr>
    </w:p>
    <w:p>
      <w:pPr>
        <w:spacing w:line="312" w:lineRule="auto"/>
        <w:rPr>
          <w:b/>
          <w:sz w:val="20"/>
          <w:szCs w:val="20"/>
        </w:rPr>
      </w:pPr>
    </w:p>
    <w:p>
      <w:pPr>
        <w:spacing w:line="312" w:lineRule="auto"/>
        <w:rPr>
          <w:b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sz w:val="20"/>
          <w:szCs w:val="20"/>
          <w:rtl w:val="0"/>
        </w:rPr>
        <w:t>四、项目核心收获</w:t>
      </w:r>
    </w:p>
    <w:p>
      <w:pPr>
        <w:spacing w:line="312" w:lineRule="auto"/>
        <w:rPr>
          <w:sz w:val="20"/>
          <w:szCs w:val="20"/>
        </w:rPr>
      </w:pPr>
    </w:p>
    <w:p>
      <w:pPr>
        <w:numPr>
          <w:ilvl w:val="0"/>
          <w:numId w:val="2"/>
        </w:numPr>
        <w:spacing w:line="312" w:lineRule="auto"/>
        <w:ind w:left="720" w:hanging="360"/>
        <w:rPr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Cs w:val="20"/>
          <w:rtl w:val="0"/>
        </w:rPr>
        <w:t>麻省理工学院/ 哈佛商学院</w:t>
      </w:r>
      <w:r>
        <w:rPr>
          <w:rFonts w:ascii="Arial Unicode MS" w:hAnsi="Arial Unicode MS" w:eastAsia="Arial Unicode MS" w:cs="Arial Unicode MS"/>
          <w:b/>
          <w:color w:val="18339E"/>
          <w:sz w:val="20"/>
          <w:szCs w:val="20"/>
          <w:rtl w:val="0"/>
        </w:rPr>
        <w:t xml:space="preserve"> 官方课程项目证书</w:t>
      </w:r>
    </w:p>
    <w:p>
      <w:pPr>
        <w:numPr>
          <w:ilvl w:val="0"/>
          <w:numId w:val="2"/>
        </w:numPr>
        <w:spacing w:line="312" w:lineRule="auto"/>
        <w:ind w:left="720" w:hanging="360"/>
        <w:rPr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Cs w:val="20"/>
          <w:rtl w:val="0"/>
        </w:rPr>
        <w:t>可发表高质量</w:t>
      </w:r>
      <w:r>
        <w:rPr>
          <w:rFonts w:ascii="Arial Unicode MS" w:hAnsi="Arial Unicode MS" w:eastAsia="Arial Unicode MS" w:cs="Arial Unicode MS"/>
          <w:b/>
          <w:color w:val="18339E"/>
          <w:sz w:val="20"/>
          <w:szCs w:val="20"/>
          <w:rtl w:val="0"/>
        </w:rPr>
        <w:t>科研论文</w:t>
      </w:r>
      <w:r>
        <w:rPr>
          <w:sz w:val="20"/>
          <w:szCs w:val="20"/>
          <w:rtl w:val="0"/>
        </w:rPr>
        <w:t xml:space="preserve">/ </w:t>
      </w:r>
      <w:r>
        <w:rPr>
          <w:rFonts w:ascii="Arial Unicode MS" w:hAnsi="Arial Unicode MS" w:eastAsia="Arial Unicode MS" w:cs="Arial Unicode MS"/>
          <w:b/>
          <w:color w:val="18339E"/>
          <w:sz w:val="20"/>
          <w:szCs w:val="20"/>
          <w:rtl w:val="0"/>
        </w:rPr>
        <w:t>项目报告</w:t>
      </w:r>
    </w:p>
    <w:p>
      <w:pPr>
        <w:numPr>
          <w:ilvl w:val="0"/>
          <w:numId w:val="2"/>
        </w:numPr>
        <w:spacing w:line="312" w:lineRule="auto"/>
        <w:ind w:left="720" w:hanging="360"/>
        <w:rPr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Cs w:val="20"/>
          <w:rtl w:val="0"/>
        </w:rPr>
        <w:t>项目导师亲笔</w:t>
      </w:r>
      <w:r>
        <w:rPr>
          <w:rFonts w:ascii="Arial Unicode MS" w:hAnsi="Arial Unicode MS" w:eastAsia="Arial Unicode MS" w:cs="Arial Unicode MS"/>
          <w:b/>
          <w:color w:val="18339E"/>
          <w:sz w:val="20"/>
          <w:szCs w:val="20"/>
          <w:rtl w:val="0"/>
        </w:rPr>
        <w:t>推荐信</w:t>
      </w:r>
    </w:p>
    <w:p>
      <w:pPr>
        <w:numPr>
          <w:ilvl w:val="0"/>
          <w:numId w:val="2"/>
        </w:numPr>
        <w:spacing w:line="312" w:lineRule="auto"/>
        <w:ind w:left="720" w:hanging="360"/>
        <w:rPr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Cs w:val="20"/>
          <w:rtl w:val="0"/>
        </w:rPr>
        <w:t>中美顶尖科技公司</w:t>
      </w:r>
      <w:r>
        <w:rPr>
          <w:rFonts w:ascii="Arial Unicode MS" w:hAnsi="Arial Unicode MS" w:eastAsia="Arial Unicode MS" w:cs="Arial Unicode MS"/>
          <w:b/>
          <w:color w:val="18339E"/>
          <w:sz w:val="20"/>
          <w:szCs w:val="20"/>
          <w:rtl w:val="0"/>
        </w:rPr>
        <w:t>工作推荐</w:t>
      </w:r>
      <w:r>
        <w:rPr>
          <w:rFonts w:ascii="Arial Unicode MS" w:hAnsi="Arial Unicode MS" w:eastAsia="Arial Unicode MS" w:cs="Arial Unicode MS"/>
          <w:sz w:val="20"/>
          <w:szCs w:val="20"/>
          <w:rtl w:val="0"/>
        </w:rPr>
        <w:t>机会</w:t>
      </w:r>
    </w:p>
    <w:p>
      <w:pPr>
        <w:spacing w:line="312" w:lineRule="auto"/>
        <w:rPr>
          <w:b/>
          <w:sz w:val="20"/>
          <w:szCs w:val="20"/>
        </w:rPr>
      </w:pPr>
    </w:p>
    <w:p>
      <w:pPr>
        <w:spacing w:line="312" w:lineRule="auto"/>
        <w:rPr>
          <w:b/>
          <w:sz w:val="20"/>
          <w:szCs w:val="20"/>
        </w:rPr>
      </w:pPr>
    </w:p>
    <w:p>
      <w:pPr>
        <w:spacing w:line="312" w:lineRule="auto"/>
        <w:rPr>
          <w:b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sz w:val="20"/>
          <w:szCs w:val="20"/>
          <w:rtl w:val="0"/>
        </w:rPr>
        <w:t>五、可选模块及相应课程</w:t>
      </w:r>
    </w:p>
    <w:p>
      <w:pPr>
        <w:spacing w:line="312" w:lineRule="auto"/>
        <w:rPr>
          <w:b/>
          <w:sz w:val="20"/>
          <w:szCs w:val="20"/>
        </w:rPr>
      </w:pPr>
    </w:p>
    <w:p>
      <w:pPr>
        <w:spacing w:line="312" w:lineRule="auto"/>
        <w:rPr>
          <w:b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sz w:val="20"/>
          <w:szCs w:val="20"/>
          <w:rtl w:val="0"/>
        </w:rPr>
        <w:t>模块一：SPOC 小规模在线学习</w:t>
      </w:r>
    </w:p>
    <w:p>
      <w:pPr>
        <w:spacing w:line="312" w:lineRule="auto"/>
        <w:rPr>
          <w:b/>
          <w:sz w:val="20"/>
          <w:szCs w:val="20"/>
        </w:rPr>
      </w:pPr>
    </w:p>
    <w:p>
      <w:pPr>
        <w:spacing w:line="312" w:lineRule="auto"/>
        <w:rPr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Cs w:val="20"/>
          <w:rtl w:val="0"/>
        </w:rPr>
        <w:t xml:space="preserve">1）授课平台：MIT / HBS 官方学习平台； </w:t>
      </w:r>
    </w:p>
    <w:p>
      <w:pPr>
        <w:spacing w:line="312" w:lineRule="auto"/>
        <w:rPr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Cs w:val="20"/>
          <w:rtl w:val="0"/>
        </w:rPr>
        <w:t xml:space="preserve">2）授课形式：录播 &amp; 直播 &amp; 课后测验； </w:t>
      </w:r>
    </w:p>
    <w:p>
      <w:pPr>
        <w:spacing w:line="312" w:lineRule="auto"/>
        <w:rPr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Cs w:val="20"/>
          <w:rtl w:val="0"/>
        </w:rPr>
        <w:t>3）授课时长：4-6周完成，每周用时4-6小时；</w:t>
      </w:r>
    </w:p>
    <w:p>
      <w:pPr>
        <w:spacing w:line="312" w:lineRule="auto"/>
        <w:rPr>
          <w:sz w:val="20"/>
          <w:szCs w:val="20"/>
        </w:rPr>
      </w:pPr>
    </w:p>
    <w:p>
      <w:pPr>
        <w:spacing w:line="312" w:lineRule="auto"/>
        <w:rPr>
          <w:b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sz w:val="20"/>
          <w:szCs w:val="20"/>
          <w:rtl w:val="0"/>
        </w:rPr>
        <w:t>模块二：PBL 项目制学习</w:t>
      </w:r>
    </w:p>
    <w:p>
      <w:pPr>
        <w:spacing w:line="312" w:lineRule="auto"/>
        <w:rPr>
          <w:b/>
          <w:sz w:val="20"/>
          <w:szCs w:val="20"/>
        </w:rPr>
      </w:pPr>
    </w:p>
    <w:p>
      <w:pPr>
        <w:spacing w:line="312" w:lineRule="auto"/>
        <w:rPr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Cs w:val="20"/>
          <w:rtl w:val="0"/>
        </w:rPr>
        <w:t xml:space="preserve">1）可选导向：每个PBL项目分为选科研导向（12周）或就业导向（6周）两种班级； </w:t>
      </w:r>
    </w:p>
    <w:p>
      <w:pPr>
        <w:spacing w:line="312" w:lineRule="auto"/>
        <w:rPr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Cs w:val="20"/>
          <w:rtl w:val="0"/>
        </w:rPr>
        <w:t xml:space="preserve">2）授课形式：导师线上会议制授课 &amp; 即时沟通软件； </w:t>
      </w:r>
    </w:p>
    <w:p>
      <w:pPr>
        <w:spacing w:line="312" w:lineRule="auto"/>
        <w:rPr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Cs w:val="20"/>
          <w:rtl w:val="0"/>
        </w:rPr>
        <w:t>3）课程成果：完成可发表论文或项目研究报告、并获得导师推荐信</w:t>
      </w:r>
    </w:p>
    <w:p>
      <w:pPr>
        <w:spacing w:line="312" w:lineRule="auto"/>
        <w:rPr>
          <w:sz w:val="20"/>
          <w:szCs w:val="20"/>
        </w:rPr>
      </w:pPr>
    </w:p>
    <w:p/>
    <w:tbl>
      <w:tblPr>
        <w:tblStyle w:val="13"/>
        <w:tblW w:w="9330" w:type="dxa"/>
        <w:tblInd w:w="55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350"/>
        <w:gridCol w:w="3255"/>
        <w:gridCol w:w="472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690" w:hRule="atLeast"/>
        </w:trPr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18339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spacing w:line="312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rFonts w:ascii="Arial Unicode MS" w:hAnsi="Arial Unicode MS" w:eastAsia="Arial Unicode MS" w:cs="Arial Unicode MS"/>
                <w:b/>
                <w:color w:val="FFFFFF"/>
                <w:sz w:val="18"/>
                <w:szCs w:val="18"/>
                <w:rtl w:val="0"/>
              </w:rPr>
              <w:t>课程主题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18339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spacing w:line="312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rFonts w:ascii="Arial Unicode MS" w:hAnsi="Arial Unicode MS" w:eastAsia="Arial Unicode MS" w:cs="Arial Unicode MS"/>
                <w:b/>
                <w:color w:val="FFFFFF"/>
                <w:sz w:val="18"/>
                <w:szCs w:val="18"/>
                <w:rtl w:val="0"/>
              </w:rPr>
              <w:t>SPOC 可选课程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18339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spacing w:line="312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rFonts w:ascii="Arial Unicode MS" w:hAnsi="Arial Unicode MS" w:eastAsia="Arial Unicode MS" w:cs="Arial Unicode MS"/>
                <w:b/>
                <w:color w:val="FFFFFF"/>
                <w:sz w:val="18"/>
                <w:szCs w:val="18"/>
                <w:rtl w:val="0"/>
              </w:rPr>
              <w:t>PBL 可选课程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535" w:hRule="atLeast"/>
        </w:trPr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rFonts w:ascii="Arial Unicode MS" w:hAnsi="Arial Unicode MS" w:eastAsia="Arial Unicode MS" w:cs="Arial Unicode MS"/>
                <w:sz w:val="18"/>
                <w:szCs w:val="18"/>
                <w:rtl w:val="0"/>
              </w:rPr>
              <w:t>数据分析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spacing w:line="312" w:lineRule="auto"/>
              <w:rPr>
                <w:sz w:val="18"/>
                <w:szCs w:val="18"/>
              </w:rPr>
            </w:pPr>
            <w:r>
              <w:rPr>
                <w:rFonts w:ascii="Arial Unicode MS" w:hAnsi="Arial Unicode MS" w:eastAsia="Arial Unicode MS" w:cs="Arial Unicode MS"/>
                <w:sz w:val="18"/>
                <w:szCs w:val="18"/>
                <w:rtl w:val="0"/>
              </w:rPr>
              <w:t>《用基础数据分析解决实际商业问题》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spacing w:line="312" w:lineRule="auto"/>
              <w:rPr>
                <w:sz w:val="18"/>
                <w:szCs w:val="18"/>
              </w:rPr>
            </w:pPr>
            <w:r>
              <w:rPr>
                <w:rFonts w:ascii="Arial Unicode MS" w:hAnsi="Arial Unicode MS" w:eastAsia="Arial Unicode MS" w:cs="Arial Unicode MS"/>
                <w:sz w:val="18"/>
                <w:szCs w:val="18"/>
                <w:rtl w:val="0"/>
              </w:rPr>
              <w:t>《互联网行为干预 Yelp 项目》</w:t>
            </w:r>
          </w:p>
          <w:p>
            <w:pPr>
              <w:widowControl w:val="0"/>
              <w:spacing w:line="312" w:lineRule="auto"/>
              <w:rPr>
                <w:sz w:val="18"/>
                <w:szCs w:val="18"/>
              </w:rPr>
            </w:pPr>
            <w:r>
              <w:rPr>
                <w:rFonts w:ascii="Arial Unicode MS" w:hAnsi="Arial Unicode MS" w:eastAsia="Arial Unicode MS" w:cs="Arial Unicode MS"/>
                <w:sz w:val="18"/>
                <w:szCs w:val="18"/>
                <w:rtl w:val="0"/>
              </w:rPr>
              <w:t>《智能推荐系统 Netflix 项目》</w:t>
            </w:r>
          </w:p>
          <w:p>
            <w:pPr>
              <w:widowControl w:val="0"/>
              <w:spacing w:line="312" w:lineRule="auto"/>
              <w:rPr>
                <w:sz w:val="18"/>
                <w:szCs w:val="18"/>
              </w:rPr>
            </w:pPr>
            <w:r>
              <w:rPr>
                <w:rFonts w:ascii="Arial Unicode MS" w:hAnsi="Arial Unicode MS" w:eastAsia="Arial Unicode MS" w:cs="Arial Unicode MS"/>
                <w:sz w:val="18"/>
                <w:szCs w:val="18"/>
                <w:rtl w:val="0"/>
              </w:rPr>
              <w:t>《算法交易 Bridgewater 项目》</w:t>
            </w:r>
          </w:p>
          <w:p>
            <w:pPr>
              <w:widowControl w:val="0"/>
              <w:spacing w:line="312" w:lineRule="auto"/>
              <w:rPr>
                <w:sz w:val="18"/>
                <w:szCs w:val="18"/>
              </w:rPr>
            </w:pPr>
            <w:r>
              <w:rPr>
                <w:rFonts w:ascii="Arial Unicode MS" w:hAnsi="Arial Unicode MS" w:eastAsia="Arial Unicode MS" w:cs="Arial Unicode MS"/>
                <w:sz w:val="18"/>
                <w:szCs w:val="18"/>
                <w:rtl w:val="0"/>
              </w:rPr>
              <w:t>《应用心理学与行为数据分析 Neuralink 项目》</w:t>
            </w:r>
          </w:p>
          <w:p>
            <w:pPr>
              <w:widowControl w:val="0"/>
              <w:spacing w:line="312" w:lineRule="auto"/>
              <w:rPr>
                <w:sz w:val="18"/>
                <w:szCs w:val="18"/>
              </w:rPr>
            </w:pPr>
            <w:r>
              <w:rPr>
                <w:rFonts w:ascii="Arial Unicode MS" w:hAnsi="Arial Unicode MS" w:eastAsia="Arial Unicode MS" w:cs="Arial Unicode MS"/>
                <w:sz w:val="18"/>
                <w:szCs w:val="18"/>
                <w:rtl w:val="0"/>
              </w:rPr>
              <w:t>《需求预测与供应链分析 IKEA 项目》</w:t>
            </w:r>
          </w:p>
          <w:p>
            <w:pPr>
              <w:widowControl w:val="0"/>
              <w:spacing w:line="312" w:lineRule="auto"/>
              <w:rPr>
                <w:sz w:val="18"/>
                <w:szCs w:val="18"/>
              </w:rPr>
            </w:pPr>
            <w:r>
              <w:rPr>
                <w:rFonts w:ascii="Arial Unicode MS" w:hAnsi="Arial Unicode MS" w:eastAsia="Arial Unicode MS" w:cs="Arial Unicode MS"/>
                <w:sz w:val="18"/>
                <w:szCs w:val="18"/>
                <w:rtl w:val="0"/>
              </w:rPr>
              <w:t>《污染与空气质量分析 GE 项目》</w:t>
            </w:r>
          </w:p>
          <w:p>
            <w:pPr>
              <w:widowControl w:val="0"/>
              <w:spacing w:line="312" w:lineRule="auto"/>
              <w:rPr>
                <w:sz w:val="18"/>
                <w:szCs w:val="18"/>
              </w:rPr>
            </w:pPr>
            <w:r>
              <w:rPr>
                <w:rFonts w:ascii="Arial Unicode MS" w:hAnsi="Arial Unicode MS" w:eastAsia="Arial Unicode MS" w:cs="Arial Unicode MS"/>
                <w:sz w:val="18"/>
                <w:szCs w:val="18"/>
                <w:rtl w:val="0"/>
              </w:rPr>
              <w:t>《超越比特币：金融系统区块链探究 Coinbase 项目》</w:t>
            </w:r>
          </w:p>
          <w:p>
            <w:pPr>
              <w:widowControl w:val="0"/>
              <w:spacing w:line="312" w:lineRule="auto"/>
              <w:rPr>
                <w:sz w:val="18"/>
                <w:szCs w:val="18"/>
              </w:rPr>
            </w:pPr>
            <w:r>
              <w:rPr>
                <w:rFonts w:ascii="Arial Unicode MS" w:hAnsi="Arial Unicode MS" w:eastAsia="Arial Unicode MS" w:cs="Arial Unicode MS"/>
                <w:sz w:val="18"/>
                <w:szCs w:val="18"/>
                <w:rtl w:val="0"/>
              </w:rPr>
              <w:t>《在线讨论模型的参数，分析和可视化 Twitter 项目》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35" w:hRule="atLeast"/>
        </w:trPr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rFonts w:ascii="Arial Unicode MS" w:hAnsi="Arial Unicode MS" w:eastAsia="Arial Unicode MS" w:cs="Arial Unicode MS"/>
                <w:sz w:val="18"/>
                <w:szCs w:val="18"/>
                <w:rtl w:val="0"/>
              </w:rPr>
              <w:t>人工智能</w:t>
            </w:r>
          </w:p>
          <w:p>
            <w:pPr>
              <w:widowControl w:val="0"/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spacing w:line="312" w:lineRule="auto"/>
              <w:rPr>
                <w:sz w:val="18"/>
                <w:szCs w:val="18"/>
              </w:rPr>
            </w:pPr>
            <w:r>
              <w:rPr>
                <w:rFonts w:ascii="Arial Unicode MS" w:hAnsi="Arial Unicode MS" w:eastAsia="Arial Unicode MS" w:cs="Arial Unicode MS"/>
                <w:sz w:val="18"/>
                <w:szCs w:val="18"/>
                <w:rtl w:val="0"/>
              </w:rPr>
              <w:t>《基础SPOC：机器学习基础、建模和仿真原理》</w:t>
            </w:r>
          </w:p>
          <w:p>
            <w:pPr>
              <w:widowControl w:val="0"/>
              <w:spacing w:line="312" w:lineRule="auto"/>
              <w:rPr>
                <w:sz w:val="18"/>
                <w:szCs w:val="18"/>
              </w:rPr>
            </w:pPr>
          </w:p>
          <w:p>
            <w:pPr>
              <w:widowControl w:val="0"/>
              <w:spacing w:line="312" w:lineRule="auto"/>
              <w:rPr>
                <w:sz w:val="18"/>
                <w:szCs w:val="18"/>
              </w:rPr>
            </w:pPr>
            <w:r>
              <w:rPr>
                <w:rFonts w:ascii="Arial Unicode MS" w:hAnsi="Arial Unicode MS" w:eastAsia="Arial Unicode MS" w:cs="Arial Unicode MS"/>
                <w:sz w:val="18"/>
                <w:szCs w:val="18"/>
                <w:rtl w:val="0"/>
              </w:rPr>
              <w:t>《高阶SPOC：机器学习在工程和科学领域中的应用》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spacing w:line="312" w:lineRule="auto"/>
              <w:rPr>
                <w:sz w:val="18"/>
                <w:szCs w:val="18"/>
              </w:rPr>
            </w:pPr>
            <w:r>
              <w:rPr>
                <w:rFonts w:ascii="Arial Unicode MS" w:hAnsi="Arial Unicode MS" w:eastAsia="Arial Unicode MS" w:cs="Arial Unicode MS"/>
                <w:sz w:val="18"/>
                <w:szCs w:val="18"/>
                <w:rtl w:val="0"/>
              </w:rPr>
              <w:t>《适用于下一代AI应用程序的新型硬件 Tesla  项目》</w:t>
            </w:r>
          </w:p>
          <w:p>
            <w:pPr>
              <w:widowControl w:val="0"/>
              <w:spacing w:line="312" w:lineRule="auto"/>
              <w:rPr>
                <w:sz w:val="18"/>
                <w:szCs w:val="18"/>
              </w:rPr>
            </w:pPr>
            <w:r>
              <w:rPr>
                <w:rFonts w:ascii="Arial Unicode MS" w:hAnsi="Arial Unicode MS" w:eastAsia="Arial Unicode MS" w:cs="Arial Unicode MS"/>
                <w:sz w:val="18"/>
                <w:szCs w:val="18"/>
                <w:rtl w:val="0"/>
              </w:rPr>
              <w:t>《计算机视觉与图像处理 Microsoft 项目》</w:t>
            </w:r>
          </w:p>
          <w:p>
            <w:pPr>
              <w:widowControl w:val="0"/>
              <w:spacing w:line="312" w:lineRule="auto"/>
              <w:rPr>
                <w:sz w:val="18"/>
                <w:szCs w:val="18"/>
              </w:rPr>
            </w:pPr>
            <w:r>
              <w:rPr>
                <w:rFonts w:ascii="Arial Unicode MS" w:hAnsi="Arial Unicode MS" w:eastAsia="Arial Unicode MS" w:cs="Arial Unicode MS"/>
                <w:sz w:val="18"/>
                <w:szCs w:val="18"/>
                <w:rtl w:val="0"/>
              </w:rPr>
              <w:t>《自然语言处理 Apple Siri 项目》</w:t>
            </w:r>
          </w:p>
          <w:p>
            <w:pPr>
              <w:widowControl w:val="0"/>
              <w:spacing w:line="312" w:lineRule="auto"/>
              <w:rPr>
                <w:sz w:val="18"/>
                <w:szCs w:val="18"/>
              </w:rPr>
            </w:pPr>
            <w:r>
              <w:rPr>
                <w:rFonts w:ascii="Arial Unicode MS" w:hAnsi="Arial Unicode MS" w:eastAsia="Arial Unicode MS" w:cs="Arial Unicode MS"/>
                <w:sz w:val="18"/>
                <w:szCs w:val="18"/>
                <w:rtl w:val="0"/>
              </w:rPr>
              <w:t>《原子模拟 Schrödinger 项目》</w:t>
            </w:r>
          </w:p>
          <w:p>
            <w:pPr>
              <w:widowControl w:val="0"/>
              <w:spacing w:line="312" w:lineRule="auto"/>
              <w:rPr>
                <w:sz w:val="18"/>
                <w:szCs w:val="18"/>
              </w:rPr>
            </w:pPr>
            <w:r>
              <w:rPr>
                <w:rFonts w:ascii="Arial Unicode MS" w:hAnsi="Arial Unicode MS" w:eastAsia="Arial Unicode MS" w:cs="Arial Unicode MS"/>
                <w:sz w:val="18"/>
                <w:szCs w:val="18"/>
                <w:rtl w:val="0"/>
              </w:rPr>
              <w:t>《机器学习在医疗中的应用 Johnson &amp; Johnson 项目》</w:t>
            </w:r>
          </w:p>
          <w:p>
            <w:pPr>
              <w:widowControl w:val="0"/>
              <w:spacing w:line="312" w:lineRule="auto"/>
              <w:rPr>
                <w:sz w:val="18"/>
                <w:szCs w:val="18"/>
              </w:rPr>
            </w:pPr>
            <w:r>
              <w:rPr>
                <w:rFonts w:ascii="Arial Unicode MS" w:hAnsi="Arial Unicode MS" w:eastAsia="Arial Unicode MS" w:cs="Arial Unicode MS"/>
                <w:sz w:val="18"/>
                <w:szCs w:val="18"/>
                <w:rtl w:val="0"/>
              </w:rPr>
              <w:t>《卷积神经网络在计算机视觉&amp;自然语言处理中的应用 Google 项目》</w:t>
            </w:r>
          </w:p>
          <w:p>
            <w:pPr>
              <w:widowControl w:val="0"/>
              <w:spacing w:line="312" w:lineRule="auto"/>
              <w:rPr>
                <w:sz w:val="18"/>
                <w:szCs w:val="18"/>
              </w:rPr>
            </w:pPr>
            <w:r>
              <w:rPr>
                <w:rFonts w:ascii="Arial Unicode MS" w:hAnsi="Arial Unicode MS" w:eastAsia="Arial Unicode MS" w:cs="Arial Unicode MS"/>
                <w:sz w:val="18"/>
                <w:szCs w:val="18"/>
                <w:rtl w:val="0"/>
              </w:rPr>
              <w:t>《机器学习在量化金融中的应用 J.P. Morgan 项目》</w:t>
            </w:r>
          </w:p>
          <w:p>
            <w:pPr>
              <w:widowControl w:val="0"/>
              <w:spacing w:line="312" w:lineRule="auto"/>
              <w:rPr>
                <w:sz w:val="18"/>
                <w:szCs w:val="18"/>
              </w:rPr>
            </w:pPr>
            <w:r>
              <w:rPr>
                <w:rFonts w:ascii="Arial Unicode MS" w:hAnsi="Arial Unicode MS" w:eastAsia="Arial Unicode MS" w:cs="Arial Unicode MS"/>
                <w:sz w:val="18"/>
                <w:szCs w:val="18"/>
                <w:rtl w:val="0"/>
              </w:rPr>
              <w:t>《深度学习在医疗图像中的应用 Siemens 项目》</w:t>
            </w:r>
          </w:p>
          <w:p>
            <w:pPr>
              <w:widowControl w:val="0"/>
              <w:spacing w:line="312" w:lineRule="auto"/>
              <w:rPr>
                <w:sz w:val="18"/>
                <w:szCs w:val="18"/>
              </w:rPr>
            </w:pPr>
            <w:r>
              <w:rPr>
                <w:rFonts w:ascii="Arial Unicode MS" w:hAnsi="Arial Unicode MS" w:eastAsia="Arial Unicode MS" w:cs="Arial Unicode MS"/>
                <w:sz w:val="18"/>
                <w:szCs w:val="18"/>
                <w:rtl w:val="0"/>
              </w:rPr>
              <w:t>《机器学习与智慧交通 Lyft 项目》</w:t>
            </w:r>
          </w:p>
          <w:p>
            <w:pPr>
              <w:widowControl w:val="0"/>
              <w:spacing w:line="312" w:lineRule="auto"/>
              <w:rPr>
                <w:sz w:val="18"/>
                <w:szCs w:val="18"/>
              </w:rPr>
            </w:pPr>
            <w:r>
              <w:rPr>
                <w:rFonts w:ascii="Arial Unicode MS" w:hAnsi="Arial Unicode MS" w:eastAsia="Arial Unicode MS" w:cs="Arial Unicode MS"/>
                <w:sz w:val="18"/>
                <w:szCs w:val="18"/>
                <w:rtl w:val="0"/>
              </w:rPr>
              <w:t>《用于地震预测的机器学习 Shell 项目》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410" w:hRule="atLeast"/>
        </w:trPr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rFonts w:ascii="Arial Unicode MS" w:hAnsi="Arial Unicode MS" w:eastAsia="Arial Unicode MS" w:cs="Arial Unicode MS"/>
                <w:sz w:val="18"/>
                <w:szCs w:val="18"/>
                <w:rtl w:val="0"/>
              </w:rPr>
              <w:t>量子计算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spacing w:line="312" w:lineRule="auto"/>
              <w:rPr>
                <w:sz w:val="18"/>
                <w:szCs w:val="18"/>
              </w:rPr>
            </w:pPr>
            <w:r>
              <w:rPr>
                <w:rFonts w:ascii="Arial Unicode MS" w:hAnsi="Arial Unicode MS" w:eastAsia="Arial Unicode MS" w:cs="Arial Unicode MS"/>
                <w:sz w:val="18"/>
                <w:szCs w:val="18"/>
                <w:rtl w:val="0"/>
              </w:rPr>
              <w:t>《基础SPOC：量子计算入门》</w:t>
            </w:r>
          </w:p>
          <w:p>
            <w:pPr>
              <w:widowControl w:val="0"/>
              <w:spacing w:line="312" w:lineRule="auto"/>
              <w:rPr>
                <w:sz w:val="18"/>
                <w:szCs w:val="18"/>
              </w:rPr>
            </w:pPr>
          </w:p>
          <w:p>
            <w:pPr>
              <w:widowControl w:val="0"/>
              <w:spacing w:line="312" w:lineRule="auto"/>
              <w:rPr>
                <w:sz w:val="18"/>
                <w:szCs w:val="18"/>
              </w:rPr>
            </w:pPr>
            <w:r>
              <w:rPr>
                <w:rFonts w:ascii="Arial Unicode MS" w:hAnsi="Arial Unicode MS" w:eastAsia="Arial Unicode MS" w:cs="Arial Unicode MS"/>
                <w:sz w:val="18"/>
                <w:szCs w:val="18"/>
                <w:rtl w:val="0"/>
              </w:rPr>
              <w:t>《高阶SPOC：用于网络安全、化学和优化的量子算法》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spacing w:line="312" w:lineRule="auto"/>
              <w:rPr>
                <w:sz w:val="18"/>
                <w:szCs w:val="18"/>
              </w:rPr>
            </w:pPr>
            <w:r>
              <w:rPr>
                <w:rFonts w:ascii="Arial Unicode MS" w:hAnsi="Arial Unicode MS" w:eastAsia="Arial Unicode MS" w:cs="Arial Unicode MS"/>
                <w:sz w:val="18"/>
                <w:szCs w:val="18"/>
                <w:highlight w:val="white"/>
                <w:rtl w:val="0"/>
              </w:rPr>
              <w:t>《量子架构设计 IBM</w:t>
            </w:r>
            <w:r>
              <w:rPr>
                <w:rFonts w:ascii="Arial Unicode MS" w:hAnsi="Arial Unicode MS" w:eastAsia="Arial Unicode MS" w:cs="Arial Unicode MS"/>
                <w:sz w:val="18"/>
                <w:szCs w:val="18"/>
                <w:rtl w:val="0"/>
              </w:rPr>
              <w:t xml:space="preserve"> 项目</w:t>
            </w:r>
            <w:r>
              <w:rPr>
                <w:rFonts w:ascii="Arial Unicode MS" w:hAnsi="Arial Unicode MS" w:eastAsia="Arial Unicode MS" w:cs="Arial Unicode MS"/>
                <w:sz w:val="18"/>
                <w:szCs w:val="18"/>
                <w:highlight w:val="white"/>
                <w:rtl w:val="0"/>
              </w:rPr>
              <w:t>》</w:t>
            </w:r>
          </w:p>
        </w:tc>
      </w:tr>
    </w:tbl>
    <w:p>
      <w:pPr>
        <w:spacing w:line="312" w:lineRule="auto"/>
        <w:ind w:left="0" w:firstLine="0"/>
        <w:rPr>
          <w:sz w:val="20"/>
          <w:szCs w:val="20"/>
        </w:rPr>
      </w:pPr>
    </w:p>
    <w:p>
      <w:pPr>
        <w:spacing w:line="312" w:lineRule="auto"/>
        <w:rPr>
          <w:b/>
          <w:sz w:val="20"/>
          <w:szCs w:val="20"/>
        </w:rPr>
      </w:pPr>
    </w:p>
    <w:p>
      <w:pPr>
        <w:spacing w:line="312" w:lineRule="auto"/>
        <w:rPr>
          <w:b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sz w:val="20"/>
          <w:szCs w:val="20"/>
          <w:rtl w:val="0"/>
        </w:rPr>
        <w:t>六、项目宣讲会</w:t>
      </w:r>
    </w:p>
    <w:p>
      <w:pPr>
        <w:spacing w:line="312" w:lineRule="auto"/>
        <w:rPr>
          <w:b/>
          <w:sz w:val="20"/>
          <w:szCs w:val="20"/>
        </w:rPr>
      </w:pPr>
    </w:p>
    <w:p>
      <w:pPr>
        <w:spacing w:line="312" w:lineRule="auto"/>
        <w:rPr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Cs w:val="20"/>
          <w:rtl w:val="0"/>
        </w:rPr>
        <w:t xml:space="preserve">课程项目组为定期安排全球中文线上宣讲会，同时为我校学生开设三次 </w:t>
      </w:r>
      <w:r>
        <w:rPr>
          <w:rFonts w:ascii="Arial Unicode MS" w:hAnsi="Arial Unicode MS" w:eastAsia="Arial Unicode MS" w:cs="Arial Unicode MS"/>
          <w:b/>
          <w:color w:val="18339E"/>
          <w:sz w:val="20"/>
          <w:szCs w:val="20"/>
          <w:rtl w:val="0"/>
        </w:rPr>
        <w:t>专场</w:t>
      </w:r>
      <w:r>
        <w:rPr>
          <w:rFonts w:ascii="Arial Unicode MS" w:hAnsi="Arial Unicode MS" w:eastAsia="Arial Unicode MS" w:cs="Arial Unicode MS"/>
          <w:sz w:val="20"/>
          <w:szCs w:val="20"/>
          <w:rtl w:val="0"/>
        </w:rPr>
        <w:t>。</w:t>
      </w:r>
    </w:p>
    <w:p>
      <w:pPr>
        <w:spacing w:line="312" w:lineRule="auto"/>
        <w:rPr>
          <w:sz w:val="20"/>
          <w:szCs w:val="20"/>
        </w:rPr>
      </w:pPr>
    </w:p>
    <w:p>
      <w:pPr>
        <w:spacing w:line="312" w:lineRule="auto"/>
        <w:rPr>
          <w:b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sz w:val="20"/>
          <w:szCs w:val="20"/>
          <w:rtl w:val="0"/>
        </w:rPr>
        <w:t>我校专场宣讲会时间：</w:t>
      </w:r>
    </w:p>
    <w:p>
      <w:pPr>
        <w:spacing w:line="312" w:lineRule="auto"/>
        <w:rPr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Cs w:val="20"/>
          <w:rtl w:val="0"/>
        </w:rPr>
        <w:t>第一场：北京时间，9月21日（周二）晚21：00 点</w:t>
      </w:r>
    </w:p>
    <w:p>
      <w:pPr>
        <w:spacing w:line="312" w:lineRule="auto"/>
        <w:rPr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Cs w:val="20"/>
          <w:rtl w:val="0"/>
        </w:rPr>
        <w:t>第二场：北京时间，10月12日（周二）晚21：00 点</w:t>
      </w:r>
    </w:p>
    <w:p>
      <w:pPr>
        <w:spacing w:line="312" w:lineRule="auto"/>
        <w:rPr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Cs w:val="20"/>
          <w:rtl w:val="0"/>
        </w:rPr>
        <w:t>第三场：北京时间，11月16日（周二）晚21：00 点</w:t>
      </w:r>
    </w:p>
    <w:p>
      <w:pPr>
        <w:spacing w:line="312" w:lineRule="auto"/>
        <w:rPr>
          <w:b/>
          <w:sz w:val="20"/>
          <w:szCs w:val="20"/>
        </w:rPr>
      </w:pPr>
    </w:p>
    <w:p>
      <w:pPr>
        <w:spacing w:line="312" w:lineRule="auto"/>
        <w:rPr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sz w:val="20"/>
          <w:szCs w:val="20"/>
          <w:rtl w:val="0"/>
        </w:rPr>
        <w:t>参与方式：</w:t>
      </w:r>
      <w:r>
        <w:rPr>
          <w:rFonts w:ascii="Arial Unicode MS" w:hAnsi="Arial Unicode MS" w:eastAsia="Arial Unicode MS" w:cs="Arial Unicode MS"/>
          <w:sz w:val="20"/>
          <w:szCs w:val="20"/>
          <w:rtl w:val="0"/>
        </w:rPr>
        <w:t>点击文末</w:t>
      </w:r>
      <w:r>
        <w:rPr>
          <w:rFonts w:ascii="Arial Unicode MS" w:hAnsi="Arial Unicode MS" w:eastAsia="Arial Unicode MS" w:cs="Arial Unicode MS"/>
          <w:b/>
          <w:sz w:val="20"/>
          <w:szCs w:val="20"/>
          <w:rtl w:val="0"/>
        </w:rPr>
        <w:t>“官方中文咨询通道”</w:t>
      </w:r>
      <w:r>
        <w:rPr>
          <w:rFonts w:ascii="Arial Unicode MS" w:hAnsi="Arial Unicode MS" w:eastAsia="Arial Unicode MS" w:cs="Arial Unicode MS"/>
          <w:sz w:val="20"/>
          <w:szCs w:val="20"/>
          <w:rtl w:val="0"/>
        </w:rPr>
        <w:t>进行报名。</w:t>
      </w:r>
    </w:p>
    <w:p>
      <w:pPr>
        <w:spacing w:line="312" w:lineRule="auto"/>
        <w:rPr>
          <w:sz w:val="20"/>
          <w:szCs w:val="20"/>
        </w:rPr>
      </w:pPr>
    </w:p>
    <w:p>
      <w:pPr>
        <w:spacing w:line="312" w:lineRule="auto"/>
        <w:rPr>
          <w:b/>
          <w:sz w:val="20"/>
          <w:szCs w:val="20"/>
        </w:rPr>
      </w:pPr>
    </w:p>
    <w:p>
      <w:pPr>
        <w:spacing w:line="312" w:lineRule="auto"/>
        <w:rPr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sz w:val="20"/>
          <w:szCs w:val="20"/>
          <w:rtl w:val="0"/>
        </w:rPr>
        <w:t>五</w:t>
      </w:r>
      <w:r>
        <w:rPr>
          <w:rFonts w:ascii="Arial Unicode MS" w:hAnsi="Arial Unicode MS" w:eastAsia="Arial Unicode MS" w:cs="Arial Unicode MS"/>
          <w:sz w:val="20"/>
          <w:szCs w:val="20"/>
          <w:rtl w:val="0"/>
        </w:rPr>
        <w:t>、</w:t>
      </w:r>
      <w:r>
        <w:rPr>
          <w:rFonts w:ascii="Arial Unicode MS" w:hAnsi="Arial Unicode MS" w:eastAsia="Arial Unicode MS" w:cs="Arial Unicode MS"/>
          <w:b/>
          <w:sz w:val="20"/>
          <w:szCs w:val="20"/>
          <w:rtl w:val="0"/>
        </w:rPr>
        <w:t>课程项目咨询或报名</w:t>
      </w:r>
    </w:p>
    <w:p>
      <w:pPr>
        <w:spacing w:line="312" w:lineRule="auto"/>
        <w:ind w:left="720" w:hanging="360"/>
        <w:rPr>
          <w:sz w:val="20"/>
          <w:szCs w:val="20"/>
        </w:rPr>
        <w:sectPr>
          <w:headerReference r:id="rId5" w:type="default"/>
          <w:footerReference r:id="rId6" w:type="default"/>
          <w:pgSz w:w="12240" w:h="15840"/>
          <w:pgMar w:top="1440" w:right="1440" w:bottom="1440" w:left="1440" w:header="720" w:footer="720" w:gutter="0"/>
          <w:pgNumType w:start="1"/>
          <w:cols w:space="720" w:num="1"/>
        </w:sectPr>
      </w:pPr>
    </w:p>
    <w:p>
      <w:pPr>
        <w:numPr>
          <w:ilvl w:val="0"/>
          <w:numId w:val="3"/>
        </w:numPr>
        <w:spacing w:line="312" w:lineRule="auto"/>
        <w:ind w:left="720" w:hanging="360"/>
        <w:rPr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sz w:val="20"/>
          <w:szCs w:val="20"/>
          <w:rtl w:val="0"/>
        </w:rPr>
        <w:t xml:space="preserve">官方中文咨询通道：点击  </w:t>
      </w:r>
      <w:r>
        <w:fldChar w:fldCharType="begin"/>
      </w:r>
      <w:r>
        <w:instrText xml:space="preserve"> HYPERLINK "https://aixblendedlearning.mikecrm.com/3F26gCG" \h </w:instrText>
      </w:r>
      <w:r>
        <w:fldChar w:fldCharType="separate"/>
      </w:r>
      <w:r>
        <w:rPr>
          <w:b/>
          <w:color w:val="1155CC"/>
          <w:sz w:val="20"/>
          <w:szCs w:val="20"/>
          <w:u w:val="single"/>
          <w:rtl w:val="0"/>
        </w:rPr>
        <w:t>这里</w:t>
      </w:r>
      <w:r>
        <w:rPr>
          <w:b/>
          <w:color w:val="1155CC"/>
          <w:sz w:val="20"/>
          <w:szCs w:val="20"/>
          <w:u w:val="single"/>
          <w:rtl w:val="0"/>
        </w:rPr>
        <w:fldChar w:fldCharType="end"/>
      </w:r>
      <w:r>
        <w:rPr>
          <w:sz w:val="20"/>
          <w:szCs w:val="20"/>
          <w:rtl w:val="0"/>
        </w:rPr>
        <w:t xml:space="preserve">  </w:t>
      </w:r>
      <w:r>
        <w:rPr>
          <w:rFonts w:ascii="Arial Unicode MS" w:hAnsi="Arial Unicode MS" w:eastAsia="Arial Unicode MS" w:cs="Arial Unicode MS"/>
          <w:sz w:val="20"/>
          <w:szCs w:val="20"/>
          <w:rtl w:val="0"/>
        </w:rPr>
        <w:t>或扫描下方二维码进行咨询</w:t>
      </w:r>
    </w:p>
    <w:p>
      <w:pPr>
        <w:spacing w:line="312" w:lineRule="auto"/>
        <w:ind w:left="720" w:firstLine="0"/>
        <w:rPr>
          <w:sz w:val="20"/>
          <w:szCs w:val="20"/>
        </w:rPr>
      </w:pPr>
    </w:p>
    <w:p>
      <w:pPr>
        <w:spacing w:line="312" w:lineRule="auto"/>
        <w:ind w:left="720" w:firstLine="0"/>
        <w:rPr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Cs w:val="20"/>
          <w:rtl w:val="0"/>
        </w:rPr>
        <w:t>（有意向同学建议完成该表填写，课程组会与你取得联系）</w:t>
      </w:r>
    </w:p>
    <w:p>
      <w:pPr>
        <w:spacing w:line="276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  <w:rtl w:val="0"/>
        </w:rPr>
        <w:t xml:space="preserve">  </w:t>
      </w:r>
    </w:p>
    <w:p>
      <w:pPr>
        <w:spacing w:line="276" w:lineRule="auto"/>
        <w:rPr>
          <w:color w:val="666666"/>
          <w:sz w:val="20"/>
          <w:szCs w:val="20"/>
        </w:rPr>
      </w:pPr>
    </w:p>
    <w:p>
      <w:pPr>
        <w:rPr>
          <w:color w:val="666666"/>
          <w:sz w:val="20"/>
          <w:szCs w:val="20"/>
        </w:rPr>
        <w:sectPr>
          <w:type w:val="continuous"/>
          <w:pgSz w:w="12240" w:h="15840"/>
          <w:pgMar w:top="1440" w:right="1440" w:bottom="1440" w:left="1440" w:header="720" w:footer="720" w:gutter="0"/>
          <w:cols w:equalWidth="0" w:num="1">
            <w:col w:w="9360"/>
          </w:cols>
        </w:sectPr>
      </w:pPr>
      <w:r>
        <w:rPr>
          <w:color w:val="666666"/>
          <w:sz w:val="20"/>
          <w:szCs w:val="20"/>
        </w:rPr>
        <w:drawing>
          <wp:inline distT="114300" distB="114300" distL="114300" distR="114300">
            <wp:extent cx="2890520" cy="269875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0838" cy="269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666666"/>
          <w:sz w:val="20"/>
          <w:szCs w:val="20"/>
        </w:rPr>
        <w:drawing>
          <wp:inline distT="114300" distB="114300" distL="114300" distR="114300">
            <wp:extent cx="2747645" cy="100774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7963" cy="100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b/>
          <w:sz w:val="24"/>
          <w:szCs w:val="24"/>
        </w:rPr>
      </w:pPr>
    </w:p>
    <w:p>
      <w:pPr>
        <w:spacing w:line="276" w:lineRule="auto"/>
        <w:rPr>
          <w:b/>
          <w:sz w:val="24"/>
          <w:szCs w:val="24"/>
        </w:rPr>
      </w:pPr>
    </w:p>
    <w:p>
      <w:pPr>
        <w:spacing w:line="312" w:lineRule="auto"/>
        <w:rPr>
          <w:b/>
          <w:color w:val="18339E"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color w:val="18339E"/>
          <w:sz w:val="20"/>
          <w:szCs w:val="20"/>
          <w:rtl w:val="0"/>
        </w:rPr>
        <w:t>附件：</w:t>
      </w:r>
    </w:p>
    <w:p>
      <w:pPr>
        <w:spacing w:line="312" w:lineRule="auto"/>
        <w:rPr>
          <w:b/>
          <w:sz w:val="24"/>
          <w:szCs w:val="24"/>
        </w:rPr>
      </w:pPr>
    </w:p>
    <w:p>
      <w:pPr>
        <w:spacing w:line="312" w:lineRule="auto"/>
        <w:ind w:left="0" w:firstLine="0"/>
        <w:rPr>
          <w:b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Cs w:val="20"/>
          <w:rtl w:val="0"/>
        </w:rPr>
        <w:t>Blended Learning MIT 完整项目手册：</w:t>
      </w:r>
      <w:r>
        <w:fldChar w:fldCharType="begin"/>
      </w:r>
      <w:r>
        <w:instrText xml:space="preserve"> HYPERLINK "https://aixblendedlearning.mikecrm.com/9QA5C3b" \h </w:instrText>
      </w:r>
      <w:r>
        <w:fldChar w:fldCharType="separate"/>
      </w:r>
      <w:r>
        <w:rPr>
          <w:b/>
          <w:color w:val="1155CC"/>
          <w:sz w:val="20"/>
          <w:szCs w:val="20"/>
          <w:u w:val="single"/>
          <w:rtl w:val="0"/>
        </w:rPr>
        <w:t>点击进行手册PDF下载</w:t>
      </w:r>
      <w:r>
        <w:rPr>
          <w:b/>
          <w:color w:val="1155CC"/>
          <w:sz w:val="20"/>
          <w:szCs w:val="20"/>
          <w:u w:val="single"/>
          <w:rtl w:val="0"/>
        </w:rPr>
        <w:fldChar w:fldCharType="end"/>
      </w:r>
      <w:r>
        <w:rPr>
          <w:b/>
          <w:sz w:val="20"/>
          <w:szCs w:val="20"/>
          <w:rtl w:val="0"/>
        </w:rPr>
        <w:t xml:space="preserve"> </w:t>
      </w:r>
    </w:p>
    <w:p>
      <w:pPr>
        <w:spacing w:line="312" w:lineRule="auto"/>
        <w:ind w:left="0" w:firstLine="0"/>
        <w:rPr>
          <w:b/>
          <w:sz w:val="20"/>
          <w:szCs w:val="20"/>
        </w:rPr>
      </w:pPr>
      <w:r>
        <w:br w:type="page"/>
      </w:r>
    </w:p>
    <w:p>
      <w:pPr>
        <w:rPr>
          <w:b/>
          <w:sz w:val="20"/>
          <w:szCs w:val="20"/>
        </w:rPr>
      </w:pPr>
      <w:bookmarkStart w:id="0" w:name="_GoBack"/>
      <w:bookmarkEnd w:id="0"/>
    </w:p>
    <w:p>
      <w:pPr>
        <w:rPr>
          <w:b/>
          <w:sz w:val="20"/>
          <w:szCs w:val="20"/>
        </w:rPr>
      </w:pPr>
    </w:p>
    <w:p>
      <w:pPr>
        <w:rPr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sz w:val="20"/>
          <w:szCs w:val="20"/>
          <w:rtl w:val="0"/>
        </w:rPr>
        <w:t>一、选课方式、项目费用及奖学金</w:t>
      </w:r>
    </w:p>
    <w:p>
      <w:pPr>
        <w:widowControl w:val="0"/>
        <w:rPr>
          <w:sz w:val="20"/>
          <w:szCs w:val="20"/>
        </w:rPr>
      </w:pPr>
    </w:p>
    <w:p>
      <w:pPr>
        <w:widowControl w:val="0"/>
        <w:rPr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Cs w:val="20"/>
          <w:rtl w:val="0"/>
        </w:rPr>
        <w:t>我校同学可通过选择以下学习计划参与课程项目。</w:t>
      </w:r>
    </w:p>
    <w:p>
      <w:pPr>
        <w:widowControl w:val="0"/>
        <w:rPr>
          <w:sz w:val="20"/>
          <w:szCs w:val="20"/>
        </w:rPr>
      </w:pPr>
    </w:p>
    <w:tbl>
      <w:tblPr>
        <w:tblStyle w:val="14"/>
        <w:tblW w:w="9495" w:type="dxa"/>
        <w:tblInd w:w="2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210"/>
        <w:gridCol w:w="3480"/>
        <w:gridCol w:w="28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6" w:hRule="atLeast"/>
        </w:trPr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18339E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rFonts w:ascii="Arial Unicode MS" w:hAnsi="Arial Unicode MS" w:eastAsia="Arial Unicode MS" w:cs="Arial Unicode MS"/>
                <w:b/>
                <w:color w:val="FFFFFF"/>
                <w:sz w:val="18"/>
                <w:szCs w:val="18"/>
                <w:rtl w:val="0"/>
              </w:rPr>
              <w:t>学习计划</w:t>
            </w:r>
          </w:p>
        </w:tc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18339E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rFonts w:ascii="Arial Unicode MS" w:hAnsi="Arial Unicode MS" w:eastAsia="Arial Unicode MS" w:cs="Arial Unicode MS"/>
                <w:b/>
                <w:color w:val="FFFFFF"/>
                <w:sz w:val="18"/>
                <w:szCs w:val="18"/>
                <w:rtl w:val="0"/>
              </w:rPr>
              <w:t>包含模块课程</w:t>
            </w:r>
          </w:p>
        </w:tc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18339E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rFonts w:ascii="Arial Unicode MS" w:hAnsi="Arial Unicode MS" w:eastAsia="Arial Unicode MS" w:cs="Arial Unicode MS"/>
                <w:b/>
                <w:color w:val="FFFFFF"/>
                <w:sz w:val="18"/>
                <w:szCs w:val="18"/>
                <w:rtl w:val="0"/>
              </w:rPr>
              <w:t>计划费用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6" w:hRule="atLeast"/>
        </w:trPr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Arial Unicode MS" w:hAnsi="Arial Unicode MS" w:eastAsia="Arial Unicode MS" w:cs="Arial Unicode MS"/>
                <w:sz w:val="18"/>
                <w:szCs w:val="18"/>
                <w:rtl w:val="0"/>
              </w:rPr>
              <w:t>基础学习计划</w:t>
            </w:r>
          </w:p>
        </w:tc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 SPOC</w:t>
            </w:r>
          </w:p>
        </w:tc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Arial Unicode MS" w:hAnsi="Arial Unicode MS" w:eastAsia="Arial Unicode MS" w:cs="Arial Unicode MS"/>
                <w:sz w:val="18"/>
                <w:szCs w:val="18"/>
                <w:rtl w:val="0"/>
              </w:rPr>
              <w:t>$1,650 美元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6" w:hRule="atLeast"/>
        </w:trPr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ind w:left="-14400" w:right="-14400" w:firstLine="0"/>
              <w:jc w:val="center"/>
              <w:rPr>
                <w:sz w:val="18"/>
                <w:szCs w:val="18"/>
              </w:rPr>
            </w:pPr>
            <w:r>
              <w:rPr>
                <w:rFonts w:ascii="Arial Unicode MS" w:hAnsi="Arial Unicode MS" w:eastAsia="Arial Unicode MS" w:cs="Arial Unicode MS"/>
                <w:sz w:val="18"/>
                <w:szCs w:val="18"/>
                <w:rtl w:val="0"/>
              </w:rPr>
              <w:t>完整学习计划</w:t>
            </w:r>
          </w:p>
        </w:tc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 SPOC + 1 PBL</w:t>
            </w:r>
          </w:p>
        </w:tc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Arial Unicode MS" w:hAnsi="Arial Unicode MS" w:eastAsia="Arial Unicode MS" w:cs="Arial Unicode MS"/>
                <w:sz w:val="18"/>
                <w:szCs w:val="18"/>
                <w:rtl w:val="0"/>
              </w:rPr>
              <w:t>视具体选课情况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6" w:hRule="atLeast"/>
        </w:trPr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ind w:left="-14400" w:right="-14400" w:firstLine="0"/>
              <w:jc w:val="center"/>
              <w:rPr>
                <w:sz w:val="18"/>
                <w:szCs w:val="18"/>
              </w:rPr>
            </w:pPr>
            <w:r>
              <w:rPr>
                <w:rFonts w:ascii="Arial Unicode MS" w:hAnsi="Arial Unicode MS" w:eastAsia="Arial Unicode MS" w:cs="Arial Unicode MS"/>
                <w:sz w:val="18"/>
                <w:szCs w:val="18"/>
                <w:rtl w:val="0"/>
              </w:rPr>
              <w:t>全年跨学科学习计划</w:t>
            </w:r>
          </w:p>
        </w:tc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Arial Unicode MS" w:hAnsi="Arial Unicode MS" w:eastAsia="Arial Unicode MS" w:cs="Arial Unicode MS"/>
                <w:sz w:val="18"/>
                <w:szCs w:val="18"/>
                <w:rtl w:val="0"/>
              </w:rPr>
              <w:t>1SPOC + 全年任意选修 PBL</w:t>
            </w:r>
          </w:p>
        </w:tc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Arial Unicode MS" w:hAnsi="Arial Unicode MS" w:eastAsia="Arial Unicode MS" w:cs="Arial Unicode MS"/>
                <w:sz w:val="18"/>
                <w:szCs w:val="18"/>
                <w:rtl w:val="0"/>
              </w:rPr>
              <w:t>视具体选课情况</w:t>
            </w:r>
          </w:p>
        </w:tc>
      </w:tr>
    </w:tbl>
    <w:p>
      <w:pPr>
        <w:widowControl w:val="0"/>
        <w:rPr>
          <w:sz w:val="20"/>
          <w:szCs w:val="20"/>
        </w:rPr>
      </w:pPr>
    </w:p>
    <w:p>
      <w:pPr>
        <w:spacing w:line="312" w:lineRule="auto"/>
        <w:rPr>
          <w:b/>
          <w:sz w:val="20"/>
          <w:szCs w:val="20"/>
        </w:rPr>
      </w:pPr>
    </w:p>
    <w:p>
      <w:pPr>
        <w:rPr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Cs w:val="20"/>
          <w:rtl w:val="0"/>
        </w:rPr>
        <w:t>我校同学有资格申请课程项目“基础奖学金”及“个人奖学金”。具体请联系课程组进行咨询。</w:t>
      </w:r>
    </w:p>
    <w:p>
      <w:pPr>
        <w:rPr>
          <w:sz w:val="20"/>
          <w:szCs w:val="20"/>
        </w:rPr>
      </w:pPr>
    </w:p>
    <w:p>
      <w:pPr>
        <w:rPr>
          <w:b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sz w:val="20"/>
          <w:szCs w:val="20"/>
          <w:rtl w:val="0"/>
        </w:rPr>
        <w:t>二、课程时间</w:t>
      </w: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tbl>
      <w:tblPr>
        <w:tblStyle w:val="15"/>
        <w:tblW w:w="942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110"/>
        <w:gridCol w:w="531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60" w:hRule="atLeast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18339E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b/>
                <w:color w:val="FFFFFF"/>
                <w:sz w:val="20"/>
                <w:szCs w:val="20"/>
                <w:rtl w:val="0"/>
              </w:rPr>
              <w:t>SPOC 模块（季度开课）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6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b/>
                <w:sz w:val="20"/>
                <w:szCs w:val="20"/>
                <w:rtl w:val="0"/>
              </w:rPr>
              <w:t>课程主题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b/>
                <w:sz w:val="20"/>
                <w:szCs w:val="20"/>
                <w:rtl w:val="0"/>
              </w:rPr>
              <w:t>课程日期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15" w:hRule="atLeast"/>
        </w:trPr>
        <w:tc>
          <w:tcPr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  <w:rtl w:val="0"/>
              </w:rPr>
              <w:t>人工智能主题</w:t>
            </w:r>
          </w:p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&amp;</w:t>
            </w:r>
          </w:p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  <w:rtl w:val="0"/>
              </w:rPr>
              <w:t>数据分析主题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10/30/2021 - 12/11/2021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0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1/15/2022 - 02/26/2022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6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  <w:rtl w:val="0"/>
              </w:rPr>
              <w:t>量子计算主题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10/30/2021 - 11/27/2021</w:t>
            </w:r>
          </w:p>
        </w:tc>
      </w:tr>
    </w:tbl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tbl>
      <w:tblPr>
        <w:tblStyle w:val="16"/>
        <w:tblW w:w="942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065"/>
        <w:gridCol w:w="535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60" w:hRule="atLeast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18339E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b/>
                <w:color w:val="FFFFFF"/>
                <w:sz w:val="20"/>
                <w:szCs w:val="20"/>
                <w:rtl w:val="0"/>
              </w:rPr>
              <w:t>PBL 模块 （季度开课）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60" w:hRule="atLeast"/>
        </w:trPr>
        <w:tc>
          <w:tcPr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b/>
                <w:sz w:val="20"/>
                <w:szCs w:val="20"/>
                <w:rtl w:val="0"/>
              </w:rPr>
              <w:t>课程主题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b/>
                <w:sz w:val="20"/>
                <w:szCs w:val="20"/>
                <w:rtl w:val="0"/>
              </w:rPr>
              <w:t>课程日期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60" w:hRule="atLeast"/>
        </w:trPr>
        <w:tc>
          <w:tcPr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  <w:rtl w:val="0"/>
              </w:rPr>
              <w:t>部分科研导向PBL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09/25/2021 - 12/18/2021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60" w:hRule="atLeast"/>
        </w:trPr>
        <w:tc>
          <w:tcPr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  <w:rtl w:val="0"/>
              </w:rPr>
              <w:t>部分科研导向PBL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10/15/2021 - 01/07/2021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60" w:hRule="atLeast"/>
        </w:trPr>
        <w:tc>
          <w:tcPr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  <w:rtl w:val="0"/>
              </w:rPr>
              <w:t>全部行业导向PBL课程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01/08/2022 - 02/19-2022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60" w:hRule="atLeast"/>
        </w:trPr>
        <w:tc>
          <w:tcPr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  <w:rtl w:val="0"/>
              </w:rPr>
              <w:t>全部科研导向PBL课程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02/19/2022 - 05/14/2022</w:t>
            </w:r>
          </w:p>
        </w:tc>
      </w:tr>
    </w:tbl>
    <w:p>
      <w:pPr>
        <w:rPr>
          <w:b/>
          <w:sz w:val="20"/>
          <w:szCs w:val="20"/>
        </w:rPr>
      </w:pPr>
    </w:p>
    <w:sectPr>
      <w:type w:val="continuous"/>
      <w:pgSz w:w="12240" w:h="15840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before="15" w:line="240" w:lineRule="auto"/>
      <w:jc w:val="center"/>
      <w:rPr>
        <w:rFonts w:ascii="Calibri" w:hAnsi="Calibri" w:eastAsia="Calibri" w:cs="Calibri"/>
        <w:i/>
        <w:color w:val="B7B7B7"/>
        <w:sz w:val="16"/>
        <w:szCs w:val="16"/>
      </w:rPr>
    </w:pPr>
    <w:r>
      <w:rPr>
        <w:rFonts w:ascii="Calibri" w:hAnsi="Calibri" w:eastAsia="Calibri" w:cs="Calibri"/>
        <w:i/>
        <w:color w:val="B7B7B7"/>
        <w:sz w:val="16"/>
        <w:szCs w:val="16"/>
        <w:rtl w:val="0"/>
      </w:rPr>
      <w:t xml:space="preserve">Invent New Products - Develop a New System - Face the New Challenge - Be a Leader of the Future. </w:t>
    </w:r>
  </w:p>
  <w:p>
    <w:pPr>
      <w:jc w:val="center"/>
      <w:rPr>
        <w:color w:val="B7B7B7"/>
        <w:sz w:val="14"/>
        <w:szCs w:val="14"/>
        <w:highlight w:val="whit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-540"/>
    </w:pPr>
    <w:r>
      <w:rPr>
        <w:sz w:val="20"/>
        <w:szCs w:val="20"/>
        <w:rtl w:val="0"/>
      </w:rPr>
      <w:t xml:space="preserve">                                                                                                                               </w:t>
    </w:r>
    <w: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5024120</wp:posOffset>
          </wp:positionH>
          <wp:positionV relativeFrom="paragraph">
            <wp:posOffset>9525</wp:posOffset>
          </wp:positionV>
          <wp:extent cx="1367155" cy="235585"/>
          <wp:effectExtent l="0" t="0" r="0" b="0"/>
          <wp:wrapSquare wrapText="bothSides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6838" cy="2356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3D62ECE"/>
    <w:multiLevelType w:val="multilevel"/>
    <w:tmpl w:val="03D62ECE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rsids>
    <w:rsidRoot w:val="00000000"/>
    <w:rsid w:val="7A183D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9">
    <w:name w:val="Title"/>
    <w:basedOn w:val="1"/>
    <w:next w:val="1"/>
    <w:qFormat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2">
    <w:name w:val="Table Normal"/>
    <w:qFormat/>
    <w:uiPriority w:val="0"/>
  </w:style>
  <w:style w:type="table" w:customStyle="1" w:styleId="13">
    <w:name w:val="_Style 10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_Style 11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2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_Style 13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2021-10-04T08:31:37Z</dcterms:created>
  <dc:creator>Lenovo</dc:creator>
  <cp:lastModifiedBy>Lenovo</cp:lastModifiedBy>
  <dcterms:modified xsi:type="dcterms:W3CDTF">2021-10-04T08:31:52Z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55CA8BB582E34122976FDB330DED98B9</vt:lpwstr>
  </property>
</Properties>
</file>